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D353" w14:textId="3D9CC13D" w:rsidR="005069DE" w:rsidRPr="00EC1B9E" w:rsidRDefault="00070D34" w:rsidP="007974AE">
      <w:pPr>
        <w:spacing w:after="0"/>
        <w:jc w:val="center"/>
        <w:rPr>
          <w:lang w:val="el-GR"/>
        </w:rPr>
      </w:pPr>
      <w:r w:rsidRPr="00AF3D19">
        <w:rPr>
          <w:sz w:val="44"/>
          <w:szCs w:val="44"/>
          <w:lang w:val="en-US"/>
        </w:rPr>
        <w:t>ePlat.Apol.</w:t>
      </w:r>
      <w:r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</w:rPr>
        <w:t>28</w:t>
      </w:r>
      <w:r w:rsidR="000842F4">
        <w:rPr>
          <w:sz w:val="44"/>
          <w:szCs w:val="44"/>
        </w:rPr>
        <w:t>b</w:t>
      </w:r>
      <w:r>
        <w:rPr>
          <w:sz w:val="44"/>
          <w:szCs w:val="44"/>
        </w:rPr>
        <w:t>-</w:t>
      </w:r>
      <w:r w:rsidR="00F17B49">
        <w:rPr>
          <w:sz w:val="44"/>
          <w:szCs w:val="44"/>
        </w:rPr>
        <w:t>29</w:t>
      </w:r>
      <w:r w:rsidR="00071049">
        <w:rPr>
          <w:sz w:val="44"/>
          <w:szCs w:val="44"/>
        </w:rPr>
        <w:t>e</w:t>
      </w:r>
      <w:r w:rsidR="00F17B49">
        <w:rPr>
          <w:sz w:val="44"/>
          <w:szCs w:val="44"/>
        </w:rPr>
        <w:t xml:space="preserve"> - </w:t>
      </w:r>
      <w:r w:rsidR="00EC1B9E">
        <w:rPr>
          <w:sz w:val="44"/>
          <w:szCs w:val="44"/>
          <w:lang w:val="el-GR"/>
        </w:rPr>
        <w:t>τὸν θάνατον μὴ δεδιέναι</w:t>
      </w:r>
    </w:p>
    <w:p w14:paraId="292BF2C7" w14:textId="0A5FF842" w:rsidR="00070D34" w:rsidRPr="00EC1B9E" w:rsidRDefault="00070D34" w:rsidP="00070D34">
      <w:pPr>
        <w:ind w:left="0" w:firstLine="0"/>
        <w:rPr>
          <w:lang w:val="el-GR"/>
        </w:rPr>
      </w:pPr>
      <w:r w:rsidRPr="00070D34">
        <w:rPr>
          <w:lang w:val="el-GR"/>
        </w:rPr>
        <w:t>Ἴσως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ἂν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οὖν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εἴποι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τις</w:t>
      </w:r>
      <w:r w:rsidRPr="00EC1B9E">
        <w:rPr>
          <w:lang w:val="el-GR"/>
        </w:rPr>
        <w:t>· “</w:t>
      </w:r>
      <w:r w:rsidRPr="00070D34">
        <w:rPr>
          <w:lang w:val="el-GR"/>
        </w:rPr>
        <w:t>εἶτ᾽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οὐκ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αἰσχύνῃ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ὦ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Σώκρατες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τοιοῦτον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ἐπιτήδευμα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ἐπιτηδεύσας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ἐξ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οὗ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κινδυνεύεις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νυνὶ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ἀποθανεῖν</w:t>
      </w:r>
      <w:r w:rsidRPr="00EC1B9E">
        <w:rPr>
          <w:lang w:val="el-GR"/>
        </w:rPr>
        <w:t xml:space="preserve">;” </w:t>
      </w:r>
      <w:r w:rsidRPr="00070D34">
        <w:rPr>
          <w:lang w:val="el-GR"/>
        </w:rPr>
        <w:t>ἐγὼ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δὲ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τούτῳ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ἂν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δίκαιον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λόγον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ἀντείποιμι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ὅτι</w:t>
      </w:r>
      <w:r w:rsidRPr="00EC1B9E">
        <w:rPr>
          <w:lang w:val="el-GR"/>
        </w:rPr>
        <w:t xml:space="preserve"> ‘</w:t>
      </w:r>
      <w:r w:rsidRPr="00070D34">
        <w:rPr>
          <w:lang w:val="el-GR"/>
        </w:rPr>
        <w:t>οὐ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καλῶς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λέγεις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ὦ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ἄνθρωπε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εἰ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οἴει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δεῖν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κίνδυνον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ὑπολογίζεσθαι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τοῦ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ζῆν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ἢ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τεθνάναι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ἄνδρα</w:t>
      </w:r>
      <w:r w:rsidR="00E4464F">
        <w:rPr>
          <w:rStyle w:val="Funotenzeichen"/>
          <w:lang w:val="el-GR"/>
        </w:rPr>
        <w:footnoteReference w:id="1"/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ὅτου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τι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σμικρὸν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ὄφελός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ἐστιν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ἀλλ᾽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οὐκ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ἐκεῖνο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μόνον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σκοπεῖν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ὅταν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πράττῃ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πότερον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δίκαια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ἢ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ἄδικα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πράττει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καὶ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ἀνδρὸς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ἀγαθοῦ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ἔργα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ἢ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κακοῦ</w:t>
      </w:r>
      <w:r w:rsidRPr="00EC1B9E">
        <w:rPr>
          <w:lang w:val="el-GR"/>
        </w:rPr>
        <w:t xml:space="preserve">. </w:t>
      </w:r>
      <w:r w:rsidRPr="00070D34">
        <w:rPr>
          <w:lang w:val="el-GR"/>
        </w:rPr>
        <w:t>φαῦλοι</w:t>
      </w:r>
      <w:r w:rsidRPr="00EC1B9E">
        <w:rPr>
          <w:lang w:val="el-GR"/>
        </w:rPr>
        <w:t xml:space="preserve"> </w:t>
      </w:r>
      <w:hyperlink r:id="rId7" w:anchor="p.28c" w:history="1">
        <w:r w:rsidRPr="00070D34">
          <w:rPr>
            <w:rStyle w:val="Hyperlink"/>
          </w:rPr>
          <w:t>c</w:t>
        </w:r>
      </w:hyperlink>
      <w:r w:rsidRPr="00070D34">
        <w:t> 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γὰρ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ἂν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τῷ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γε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σῷ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λόγῳ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εἶεν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τῶν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ἡμιθέων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ὅσοι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ἐν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Τροίᾳ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τετελευτήκασιν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οἵ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τε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ἄλλοι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="00270ACA">
        <w:rPr>
          <w:rStyle w:val="Funotenzeichen"/>
          <w:lang w:val="el-GR"/>
        </w:rPr>
        <w:footnoteReference w:id="2"/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ὁ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τῆς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Θέτιδος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υἱός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ὃς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τοσοῦτον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τοῦ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κινδύνου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κατεφρόνησεν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παρὰ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τὸ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αἰσχρόν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τι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ὑπομεῖναι</w:t>
      </w:r>
      <w:r w:rsidR="00897B2F">
        <w:rPr>
          <w:rStyle w:val="Funotenzeichen"/>
          <w:lang w:val="el-GR"/>
        </w:rPr>
        <w:footnoteReference w:id="3"/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ὥστε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ἐπειδὴ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εἶπεν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ἡ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μήτηρ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αὐτῷ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προθυμουμένῳ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Ἕκτορα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ἀποκτεῖναι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θεὸς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οὖσα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οὑτωσί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πως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ὡς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ἐγὼ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οἶμαι</w:t>
      </w:r>
      <w:r w:rsidRPr="00EC1B9E">
        <w:rPr>
          <w:lang w:val="el-GR"/>
        </w:rPr>
        <w:t>· “</w:t>
      </w:r>
      <w:r w:rsidRPr="00070D34">
        <w:rPr>
          <w:lang w:val="el-GR"/>
        </w:rPr>
        <w:t>ὦ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παῖ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εἰ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τιμωρήσεις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Πατρόκλῳ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τῷ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ἑταίρῳ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τὸν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φόνον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Ἕκτορα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ἀποκτενεῖς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αὐτὸς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ἀποθανῇ</w:t>
      </w:r>
      <w:r w:rsidRPr="00EC1B9E">
        <w:rPr>
          <w:lang w:val="el-GR"/>
        </w:rPr>
        <w:t>—</w:t>
      </w:r>
      <w:r w:rsidRPr="00070D34">
        <w:rPr>
          <w:lang w:val="el-GR"/>
        </w:rPr>
        <w:t>αὐτίκα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γάρ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τοι</w:t>
      </w:r>
      <w:r w:rsidRPr="00EC1B9E">
        <w:rPr>
          <w:lang w:val="el-GR"/>
        </w:rPr>
        <w:t xml:space="preserve">”, </w:t>
      </w:r>
      <w:r w:rsidRPr="00070D34">
        <w:rPr>
          <w:lang w:val="el-GR"/>
        </w:rPr>
        <w:t>φησί</w:t>
      </w:r>
      <w:r w:rsidRPr="00EC1B9E">
        <w:rPr>
          <w:lang w:val="el-GR"/>
        </w:rPr>
        <w:t>, “</w:t>
      </w:r>
      <w:r w:rsidRPr="00070D34">
        <w:rPr>
          <w:lang w:val="el-GR"/>
        </w:rPr>
        <w:t>μεθ᾽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Ἕκτορα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πότμος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ἑτοῖμος</w:t>
      </w:r>
      <w:r w:rsidRPr="00EC1B9E">
        <w:rPr>
          <w:lang w:val="el-GR"/>
        </w:rPr>
        <w:t>”—</w:t>
      </w:r>
      <w:r w:rsidRPr="00070D34">
        <w:rPr>
          <w:lang w:val="el-GR"/>
        </w:rPr>
        <w:t>ὁ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δὲ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τοῦτο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ἀκούσας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τοῦ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μὲν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θανάτου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τοῦ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κινδύνου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ὠλιγώρησε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πολὺ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δὲ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μᾶλλον</w:t>
      </w:r>
      <w:r w:rsidRPr="00EC1B9E">
        <w:rPr>
          <w:lang w:val="el-GR"/>
        </w:rPr>
        <w:t xml:space="preserve"> </w:t>
      </w:r>
      <w:hyperlink r:id="rId8" w:anchor="p.28d" w:history="1">
        <w:r w:rsidRPr="00070D34">
          <w:rPr>
            <w:rStyle w:val="Hyperlink"/>
          </w:rPr>
          <w:t>d</w:t>
        </w:r>
      </w:hyperlink>
      <w:r w:rsidRPr="00070D34">
        <w:t> 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δείσας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τὸ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ζῆν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κακὸς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ὢν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τοῖς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φίλοις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μὴ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τιμωρεῖν</w:t>
      </w:r>
      <w:r w:rsidRPr="00EC1B9E">
        <w:rPr>
          <w:lang w:val="el-GR"/>
        </w:rPr>
        <w:t>, “</w:t>
      </w:r>
      <w:r w:rsidRPr="00070D34">
        <w:rPr>
          <w:lang w:val="el-GR"/>
        </w:rPr>
        <w:t>αὐτίκα</w:t>
      </w:r>
      <w:r w:rsidRPr="00EC1B9E">
        <w:rPr>
          <w:lang w:val="el-GR"/>
        </w:rPr>
        <w:t xml:space="preserve">”, </w:t>
      </w:r>
      <w:r w:rsidRPr="00070D34">
        <w:rPr>
          <w:lang w:val="el-GR"/>
        </w:rPr>
        <w:t>φησί</w:t>
      </w:r>
      <w:r w:rsidRPr="00EC1B9E">
        <w:rPr>
          <w:lang w:val="el-GR"/>
        </w:rPr>
        <w:t>, “</w:t>
      </w:r>
      <w:r w:rsidRPr="00070D34">
        <w:rPr>
          <w:lang w:val="el-GR"/>
        </w:rPr>
        <w:t>τεθναίην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δίκην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ἐπιθεὶς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τῷ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ἀδικοῦντι</w:t>
      </w:r>
      <w:r w:rsidRPr="00EC1B9E">
        <w:rPr>
          <w:lang w:val="el-GR"/>
        </w:rPr>
        <w:t xml:space="preserve">, </w:t>
      </w:r>
      <w:r w:rsidRPr="00070D34">
        <w:rPr>
          <w:lang w:val="el-GR"/>
        </w:rPr>
        <w:t>ἵνα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μὴ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ἐνθάδε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μένω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καταγέλαστος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παρὰ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νηυσὶ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κορωνίσιν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ἄχθος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ἀρούρης</w:t>
      </w:r>
      <w:r w:rsidRPr="00EC1B9E">
        <w:rPr>
          <w:lang w:val="el-GR"/>
        </w:rPr>
        <w:t xml:space="preserve">”. </w:t>
      </w:r>
      <w:r w:rsidRPr="00070D34">
        <w:rPr>
          <w:lang w:val="el-GR"/>
        </w:rPr>
        <w:t>μὴ</w:t>
      </w:r>
      <w:r w:rsidR="005E0042">
        <w:rPr>
          <w:rStyle w:val="Funotenzeichen"/>
          <w:lang w:val="el-GR"/>
        </w:rPr>
        <w:footnoteReference w:id="4"/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αὐτὸν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οἴει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φροντίσαι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θανάτου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EC1B9E">
        <w:rPr>
          <w:lang w:val="el-GR"/>
        </w:rPr>
        <w:t xml:space="preserve"> </w:t>
      </w:r>
      <w:r w:rsidRPr="00070D34">
        <w:rPr>
          <w:lang w:val="el-GR"/>
        </w:rPr>
        <w:t>κινδύνου</w:t>
      </w:r>
      <w:r w:rsidRPr="00EC1B9E">
        <w:rPr>
          <w:lang w:val="el-GR"/>
        </w:rPr>
        <w:t xml:space="preserve">;’ </w:t>
      </w:r>
    </w:p>
    <w:p w14:paraId="2E0E24D0" w14:textId="14AC0997" w:rsidR="00070D34" w:rsidRPr="0004149E" w:rsidRDefault="00070D34" w:rsidP="003829C8">
      <w:pPr>
        <w:ind w:left="0" w:firstLine="0"/>
        <w:rPr>
          <w:lang w:val="el-GR"/>
        </w:rPr>
      </w:pPr>
      <w:r w:rsidRPr="00070D34">
        <w:rPr>
          <w:lang w:val="el-GR"/>
        </w:rPr>
        <w:t>Οὕτω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γὰρ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ἔχει</w:t>
      </w:r>
      <w:r w:rsidRPr="0053694B">
        <w:rPr>
          <w:lang w:val="el-GR"/>
        </w:rPr>
        <w:t xml:space="preserve">, </w:t>
      </w:r>
      <w:r w:rsidRPr="00070D34">
        <w:rPr>
          <w:lang w:val="el-GR"/>
        </w:rPr>
        <w:t>ὦ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ἄνδρες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Ἀθηναῖοι</w:t>
      </w:r>
      <w:r w:rsidRPr="0053694B">
        <w:rPr>
          <w:lang w:val="el-GR"/>
        </w:rPr>
        <w:t xml:space="preserve">, </w:t>
      </w:r>
      <w:r w:rsidRPr="00070D34">
        <w:rPr>
          <w:lang w:val="el-GR"/>
        </w:rPr>
        <w:t>τῇ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ἀληθείᾳ</w:t>
      </w:r>
      <w:r w:rsidRPr="0053694B">
        <w:rPr>
          <w:lang w:val="el-GR"/>
        </w:rPr>
        <w:t xml:space="preserve">· </w:t>
      </w:r>
      <w:r w:rsidRPr="00070D34">
        <w:rPr>
          <w:lang w:val="el-GR"/>
        </w:rPr>
        <w:t>οὗ</w:t>
      </w:r>
      <w:r w:rsidR="006338C6">
        <w:rPr>
          <w:rStyle w:val="Funotenzeichen"/>
          <w:lang w:val="el-GR"/>
        </w:rPr>
        <w:footnoteReference w:id="5"/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ἄν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τις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ἑαυτὸν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τάξῃ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ἡγησάμενος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βέλτιστον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εἶναι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ἢ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ὑπ᾽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ἄρχοντος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ταχθῇ</w:t>
      </w:r>
      <w:r w:rsidRPr="0053694B">
        <w:rPr>
          <w:lang w:val="el-GR"/>
        </w:rPr>
        <w:t xml:space="preserve">, </w:t>
      </w:r>
      <w:r w:rsidRPr="00070D34">
        <w:rPr>
          <w:lang w:val="el-GR"/>
        </w:rPr>
        <w:t>ἐνταῦθα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δεῖ</w:t>
      </w:r>
      <w:r w:rsidRPr="0053694B">
        <w:rPr>
          <w:lang w:val="el-GR"/>
        </w:rPr>
        <w:t xml:space="preserve">, </w:t>
      </w:r>
      <w:r w:rsidRPr="00070D34">
        <w:rPr>
          <w:lang w:val="el-GR"/>
        </w:rPr>
        <w:t>ὡς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ἐμοὶ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δοκεῖ</w:t>
      </w:r>
      <w:r w:rsidRPr="0053694B">
        <w:rPr>
          <w:lang w:val="el-GR"/>
        </w:rPr>
        <w:t xml:space="preserve">, </w:t>
      </w:r>
      <w:r w:rsidRPr="00070D34">
        <w:rPr>
          <w:lang w:val="el-GR"/>
        </w:rPr>
        <w:t>μένοντα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κινδυνεύειν</w:t>
      </w:r>
      <w:r w:rsidRPr="0053694B">
        <w:rPr>
          <w:lang w:val="el-GR"/>
        </w:rPr>
        <w:t xml:space="preserve">, </w:t>
      </w:r>
      <w:r w:rsidRPr="00070D34">
        <w:rPr>
          <w:lang w:val="el-GR"/>
        </w:rPr>
        <w:t>μηδὲν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ὑπολογιζόμενον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μήτε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θάνατον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μήτε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ἄλλο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μηδὲν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πρὸ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τοῦ</w:t>
      </w:r>
      <w:r w:rsidRPr="0053694B">
        <w:rPr>
          <w:lang w:val="el-GR"/>
        </w:rPr>
        <w:t xml:space="preserve"> </w:t>
      </w:r>
      <w:r w:rsidRPr="00070D34">
        <w:rPr>
          <w:lang w:val="el-GR"/>
        </w:rPr>
        <w:t>αἰσχροῦ</w:t>
      </w:r>
      <w:r w:rsidRPr="003F46EB">
        <w:rPr>
          <w:lang w:val="el-GR"/>
        </w:rPr>
        <w:t xml:space="preserve">. </w:t>
      </w:r>
      <w:r w:rsidRPr="00070D34">
        <w:rPr>
          <w:lang w:val="el-GR"/>
        </w:rPr>
        <w:t>ἐγὼ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οὖν</w:t>
      </w:r>
      <w:r w:rsidRPr="003F46EB">
        <w:rPr>
          <w:lang w:val="el-GR"/>
        </w:rPr>
        <w:t xml:space="preserve"> </w:t>
      </w:r>
      <w:r w:rsidRPr="00130767">
        <w:rPr>
          <w:lang w:val="el-GR"/>
        </w:rPr>
        <w:t>δεινὰ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ἂν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εἴην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εἰργασμένος</w:t>
      </w:r>
      <w:r w:rsidR="00BE32E4">
        <w:rPr>
          <w:rStyle w:val="Funotenzeichen"/>
          <w:lang w:val="el-GR"/>
        </w:rPr>
        <w:footnoteReference w:id="6"/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ὦ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ἄνδρες</w:t>
      </w:r>
      <w:r w:rsidRPr="003F46EB">
        <w:rPr>
          <w:lang w:val="el-GR"/>
        </w:rPr>
        <w:t xml:space="preserve"> </w:t>
      </w:r>
      <w:hyperlink r:id="rId9" w:anchor="p.28e" w:history="1">
        <w:r w:rsidRPr="00070D34">
          <w:rPr>
            <w:rStyle w:val="Hyperlink"/>
          </w:rPr>
          <w:t>e</w:t>
        </w:r>
      </w:hyperlink>
      <w:r w:rsidRPr="00070D34">
        <w:t> 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Ἀθηναῖοι</w:t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εἰ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ὅτε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μέν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με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οἱ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ἄρχοντες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ἔταττον</w:t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οὓς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ὑμεῖς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εἵλεσθε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ἄρχειν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μου</w:t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καὶ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ἐν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Ποτειδαίᾳ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ἐν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Ἀμφιπόλει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ἐπὶ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Δηλίῳ</w:t>
      </w:r>
      <w:r w:rsidR="00BE32E4">
        <w:rPr>
          <w:rStyle w:val="Funotenzeichen"/>
          <w:lang w:val="el-GR"/>
        </w:rPr>
        <w:footnoteReference w:id="7"/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τότε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μὲν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οὗ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ἐκεῖνοι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ἔταττον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ἔμενον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ὥσπερ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ἄλλος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τις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ἐκινδύνευον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ἀποθανεῖν</w:t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τοῦ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δὲ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θεοῦ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τάττοντος</w:t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ὡς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ἐγὼ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ᾠήθην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τε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ὑπέλαβον</w:t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φιλοσοφοῦντά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με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δεῖν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ζῆν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ἐξετάζοντα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ἐμαυτὸν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τοὺς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ἄλλους</w:t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ἐνταῦθα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δὲ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φοβηθεὶς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ἢ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θάνατον</w:t>
      </w:r>
      <w:r w:rsidRPr="003F46EB">
        <w:rPr>
          <w:lang w:val="el-GR"/>
        </w:rPr>
        <w:t xml:space="preserve"> </w:t>
      </w:r>
      <w:hyperlink r:id="rId10" w:anchor="p.29a" w:history="1">
        <w:r w:rsidRPr="003F46EB">
          <w:rPr>
            <w:rStyle w:val="Hyperlink"/>
            <w:lang w:val="el-GR"/>
          </w:rPr>
          <w:t>29</w:t>
        </w:r>
      </w:hyperlink>
      <w:r w:rsidRPr="00070D34">
        <w:t> </w:t>
      </w:r>
      <w:r w:rsidRPr="003F46EB">
        <w:rPr>
          <w:lang w:val="el-GR"/>
        </w:rPr>
        <w:t xml:space="preserve"> </w:t>
      </w:r>
      <w:r w:rsidR="005A078A" w:rsidRPr="00070D34">
        <w:rPr>
          <w:lang w:val="el-GR"/>
        </w:rPr>
        <w:t>ἢ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ἄλλ᾽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ὁτιοῦν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πρᾶγμα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λίποιμι</w:t>
      </w:r>
      <w:r w:rsidRPr="00072349">
        <w:rPr>
          <w:lang w:val="el-GR"/>
        </w:rPr>
        <w:t xml:space="preserve"> </w:t>
      </w:r>
      <w:r w:rsidRPr="00070D34">
        <w:rPr>
          <w:lang w:val="el-GR"/>
        </w:rPr>
        <w:t>τὴν</w:t>
      </w:r>
      <w:r w:rsidRPr="00072349">
        <w:rPr>
          <w:lang w:val="el-GR"/>
        </w:rPr>
        <w:t xml:space="preserve"> τάξιν. </w:t>
      </w:r>
      <w:r w:rsidRPr="00070D34">
        <w:rPr>
          <w:lang w:val="el-GR"/>
        </w:rPr>
        <w:t>δεινόν</w:t>
      </w:r>
      <w:r w:rsidRPr="00072349">
        <w:rPr>
          <w:lang w:val="el-GR"/>
        </w:rPr>
        <w:t xml:space="preserve"> </w:t>
      </w:r>
      <w:r w:rsidRPr="00070D34">
        <w:rPr>
          <w:lang w:val="el-GR"/>
        </w:rPr>
        <w:t>τἂν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εἴη</w:t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καὶ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ὡς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ἀληθῶς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τότ᾽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ἄν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με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δικαίως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εἰσάγοι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τις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εἰς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δικαστήριον</w:t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ὅτι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οὐ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νομίζω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θεοὺς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εἶναι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ἀπειθῶν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τῇ</w:t>
      </w:r>
      <w:r w:rsidRPr="003F46EB">
        <w:rPr>
          <w:lang w:val="el-GR"/>
        </w:rPr>
        <w:t xml:space="preserve"> </w:t>
      </w:r>
      <w:r w:rsidRPr="0053694B">
        <w:rPr>
          <w:lang w:val="el-GR"/>
        </w:rPr>
        <w:t>μαντείᾳ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δεδιὼς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θάνατον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οἰόμενος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σοφὸς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εἶναι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οὐκ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ὤν</w:t>
      </w:r>
      <w:r w:rsidRPr="003F46EB">
        <w:rPr>
          <w:lang w:val="el-GR"/>
        </w:rPr>
        <w:t xml:space="preserve">. </w:t>
      </w:r>
      <w:r w:rsidRPr="00070D34">
        <w:rPr>
          <w:lang w:val="el-GR"/>
        </w:rPr>
        <w:t>τὸ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γάρ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τοι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θάνατον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δεδιέναι</w:t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ὦ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ἄνδρες</w:t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οὐδὲν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ἄλλο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ἐστὶν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ἢ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δοκεῖν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σοφὸν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εἶναι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μὴ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ὄντα</w:t>
      </w:r>
      <w:r w:rsidRPr="003F46EB">
        <w:rPr>
          <w:lang w:val="el-GR"/>
        </w:rPr>
        <w:t xml:space="preserve">· </w:t>
      </w:r>
      <w:r w:rsidRPr="00070D34">
        <w:rPr>
          <w:lang w:val="el-GR"/>
        </w:rPr>
        <w:t>δοκεῖν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γὰρ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εἰδέναι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ἐστὶν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ἃ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οὐκ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οἶδεν</w:t>
      </w:r>
      <w:r w:rsidRPr="003F46EB">
        <w:rPr>
          <w:lang w:val="el-GR"/>
        </w:rPr>
        <w:t xml:space="preserve">. </w:t>
      </w:r>
      <w:r w:rsidRPr="00070D34">
        <w:rPr>
          <w:lang w:val="el-GR"/>
        </w:rPr>
        <w:t>οἶδε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μὲν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γὰρ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οὐδεὶς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τὸν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θάνατον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οὐδ᾽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εἰ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τυγχάνει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τῷ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ἀνθρώπῳ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πάντων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μέγιστον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ὂν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τῶν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ἀγαθῶν</w:t>
      </w:r>
      <w:r w:rsidRPr="003F46EB">
        <w:rPr>
          <w:lang w:val="el-GR"/>
        </w:rPr>
        <w:t xml:space="preserve">, </w:t>
      </w:r>
      <w:r w:rsidRPr="00070D34">
        <w:rPr>
          <w:lang w:val="el-GR"/>
        </w:rPr>
        <w:t>δεδίασι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δ᾽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ὡς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εὖ</w:t>
      </w:r>
      <w:r w:rsidRPr="003F46EB">
        <w:rPr>
          <w:lang w:val="el-GR"/>
        </w:rPr>
        <w:t xml:space="preserve"> </w:t>
      </w:r>
      <w:r w:rsidRPr="00070D34">
        <w:rPr>
          <w:lang w:val="el-GR"/>
        </w:rPr>
        <w:t>εἰδότες</w:t>
      </w:r>
      <w:r w:rsidRPr="003F46EB">
        <w:rPr>
          <w:lang w:val="el-GR"/>
        </w:rPr>
        <w:t xml:space="preserve"> </w:t>
      </w:r>
      <w:hyperlink r:id="rId11" w:anchor="p.29b" w:history="1">
        <w:r w:rsidRPr="003829C8">
          <w:t>b</w:t>
        </w:r>
      </w:hyperlink>
      <w:r w:rsidRPr="003829C8">
        <w:t> 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ὅτι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μέγιστον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τῶν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κακῶν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ἐστι</w:t>
      </w:r>
      <w:r w:rsidRPr="00A56971">
        <w:rPr>
          <w:lang w:val="el-GR"/>
        </w:rPr>
        <w:t xml:space="preserve">. </w:t>
      </w:r>
      <w:r w:rsidRPr="00070D34">
        <w:rPr>
          <w:lang w:val="el-GR"/>
        </w:rPr>
        <w:t>καίτοι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πῶς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οὐκ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ἀμαθία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ἐστὶν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αὕτη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ἡ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ἐπονείδιστος</w:t>
      </w:r>
      <w:r w:rsidR="00A56971">
        <w:rPr>
          <w:rStyle w:val="Funotenzeichen"/>
          <w:lang w:val="el-GR"/>
        </w:rPr>
        <w:footnoteReference w:id="8"/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ἡ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τοῦ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οἴεσθαι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εἰδέναι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ἃ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οὐκ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οἶδεν</w:t>
      </w:r>
      <w:r w:rsidRPr="00A56971">
        <w:rPr>
          <w:lang w:val="el-GR"/>
        </w:rPr>
        <w:t xml:space="preserve">; </w:t>
      </w:r>
      <w:r w:rsidRPr="00070D34">
        <w:rPr>
          <w:lang w:val="el-GR"/>
        </w:rPr>
        <w:t>ἐγὼ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δ᾽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ὦ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ἄνδρες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τούτῳ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ἐνταῦθα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ἴσως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διαφέρω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τῶν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πολλῶν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ἀνθρώπων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καὶ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εἰ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δή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τῳ</w:t>
      </w:r>
      <w:r w:rsidR="003F46EB" w:rsidRPr="004903F0">
        <w:rPr>
          <w:vertAlign w:val="superscript"/>
        </w:rPr>
        <w:footnoteReference w:id="9"/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σοφώτερός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του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φαίην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εἶναι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τούτῳ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ἄν</w:t>
      </w:r>
      <w:r w:rsidR="003F46EB" w:rsidRPr="004903F0">
        <w:rPr>
          <w:vertAlign w:val="superscript"/>
        </w:rPr>
        <w:footnoteReference w:id="10"/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ὅτι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οὐκ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εἰδὼς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ἱκανῶς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περὶ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τῶν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ἐν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Ἅιδου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οὕτω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οἴομαι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οὐκ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εἰδέναι</w:t>
      </w:r>
      <w:r w:rsidRPr="00A56971">
        <w:rPr>
          <w:lang w:val="el-GR"/>
        </w:rPr>
        <w:t xml:space="preserve">· </w:t>
      </w:r>
      <w:r w:rsidRPr="00070D34">
        <w:rPr>
          <w:lang w:val="el-GR"/>
        </w:rPr>
        <w:t>τὸ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δὲ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ἀδικεῖν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ἀπειθεῖν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τῷ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βελτίονι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θεῷ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ἀνθρώπῳ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ὅτι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κακὸν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αἰσχρόν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ἐστιν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οἶδα</w:t>
      </w:r>
      <w:r w:rsidRPr="00A56971">
        <w:rPr>
          <w:lang w:val="el-GR"/>
        </w:rPr>
        <w:t xml:space="preserve">. </w:t>
      </w:r>
      <w:r w:rsidRPr="0053694B">
        <w:rPr>
          <w:lang w:val="el-GR"/>
        </w:rPr>
        <w:t>πρὸ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οὖν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τῶν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κακῶν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ὧν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οἶδα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ὅτι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κακά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ἐστιν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ἃ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μὴ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οἶδα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εἰ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ἀγαθὰ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ὄντα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τυγχάνει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οὐδέποτε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φοβήσομαι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οὐδὲ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φεύξομαι</w:t>
      </w:r>
      <w:r w:rsidRPr="00A56971">
        <w:rPr>
          <w:lang w:val="el-GR"/>
        </w:rPr>
        <w:t xml:space="preserve">· </w:t>
      </w:r>
      <w:r w:rsidRPr="00070D34">
        <w:rPr>
          <w:lang w:val="el-GR"/>
        </w:rPr>
        <w:t>ὥστε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οὐδ᾽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εἴ</w:t>
      </w:r>
      <w:r w:rsidRPr="00A56971">
        <w:rPr>
          <w:lang w:val="el-GR"/>
        </w:rPr>
        <w:t xml:space="preserve"> </w:t>
      </w:r>
      <w:hyperlink r:id="rId12" w:anchor="p.29c" w:history="1">
        <w:r w:rsidRPr="003829C8">
          <w:t>c</w:t>
        </w:r>
      </w:hyperlink>
      <w:r w:rsidRPr="003829C8">
        <w:t> 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με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νῦν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ὑμεῖς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ἀφίετε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Ἀνύτῳ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ἀπιστήσαντες</w:t>
      </w:r>
      <w:r w:rsidR="0004149E">
        <w:rPr>
          <w:rStyle w:val="Funotenzeichen"/>
          <w:lang w:val="el-GR"/>
        </w:rPr>
        <w:footnoteReference w:id="11"/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ὃς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ἔφη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ἢ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τὴν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ἀρχὴν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οὐ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δεῖν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ἐμὲ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δεῦρο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εἰσελθεῖν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ἤ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ἐπειδὴ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εἰσῆλθον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οὐχ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οἷόν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εἶναι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τὸ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μὴ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ἀποκτεῖναί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με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λέγων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πρὸς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ὑμᾶς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ὡς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εἰ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διαφευξοίμην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ἤδη</w:t>
      </w:r>
      <w:r w:rsidRPr="00A56971">
        <w:rPr>
          <w:lang w:val="el-GR"/>
        </w:rPr>
        <w:t xml:space="preserve"> [</w:t>
      </w:r>
      <w:r w:rsidRPr="00070D34">
        <w:rPr>
          <w:lang w:val="el-GR"/>
        </w:rPr>
        <w:t>ἂν</w:t>
      </w:r>
      <w:r w:rsidRPr="00A56971">
        <w:rPr>
          <w:lang w:val="el-GR"/>
        </w:rPr>
        <w:t xml:space="preserve">] </w:t>
      </w:r>
      <w:r w:rsidRPr="00070D34">
        <w:rPr>
          <w:lang w:val="el-GR"/>
        </w:rPr>
        <w:t>ὑμῶν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οἱ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ὑεῖς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ἐπιτηδεύοντες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ἃ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Σωκράτης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διδάσκει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πάντες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παντάπασι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διαφθαρήσονται</w:t>
      </w:r>
      <w:r w:rsidRPr="00A56971">
        <w:rPr>
          <w:lang w:val="el-GR"/>
        </w:rPr>
        <w:t>,—</w:t>
      </w:r>
      <w:r w:rsidRPr="00070D34">
        <w:rPr>
          <w:lang w:val="el-GR"/>
        </w:rPr>
        <w:t>εἴ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μοι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πρὸς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ταῦτα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εἴποιτε</w:t>
      </w:r>
      <w:r w:rsidRPr="00A56971">
        <w:rPr>
          <w:lang w:val="el-GR"/>
        </w:rPr>
        <w:t>· “</w:t>
      </w:r>
      <w:r w:rsidRPr="00070D34">
        <w:rPr>
          <w:lang w:val="el-GR"/>
        </w:rPr>
        <w:t>ὦ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Σώκρατες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νῦν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μὲν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Ἀνύτῳ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οὐ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πεισόμεθα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ἀλλ᾽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ἀφίεμέν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σε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ἐπὶ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τούτῳ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μέντοι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ἐφ᾽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ᾧτε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μηκέτι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ἐν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ταύτῃ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τῇ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ζητήσει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διατρίβειν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μηδὲ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φιλοσοφεῖν</w:t>
      </w:r>
      <w:r w:rsidRPr="00A56971">
        <w:rPr>
          <w:lang w:val="el-GR"/>
        </w:rPr>
        <w:t xml:space="preserve">· </w:t>
      </w:r>
      <w:r w:rsidRPr="00070D34">
        <w:rPr>
          <w:lang w:val="el-GR"/>
        </w:rPr>
        <w:t>ἐὰν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δὲ</w:t>
      </w:r>
      <w:r w:rsidRPr="00A56971">
        <w:rPr>
          <w:lang w:val="el-GR"/>
        </w:rPr>
        <w:t xml:space="preserve"> </w:t>
      </w:r>
      <w:hyperlink r:id="rId13" w:anchor="p.29d" w:history="1">
        <w:r w:rsidRPr="003829C8">
          <w:t>d</w:t>
        </w:r>
      </w:hyperlink>
      <w:r w:rsidRPr="003829C8">
        <w:t> 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ἁλῷς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ἔτι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τοῦτο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πράττων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ἀποθανῇ</w:t>
      </w:r>
      <w:r w:rsidRPr="00A56971">
        <w:rPr>
          <w:lang w:val="el-GR"/>
        </w:rPr>
        <w:t>” —</w:t>
      </w:r>
      <w:r w:rsidRPr="00070D34">
        <w:rPr>
          <w:lang w:val="el-GR"/>
        </w:rPr>
        <w:t>εἰ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οὖν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με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ὅπερ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εἶπον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ἐπὶ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τούτοις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ἀφίοιτε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εἴποιμ᾽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ἂν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ὑμῖν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ὅτι</w:t>
      </w:r>
      <w:r w:rsidRPr="00A56971">
        <w:rPr>
          <w:lang w:val="el-GR"/>
        </w:rPr>
        <w:t xml:space="preserve"> “</w:t>
      </w:r>
      <w:r w:rsidRPr="00070D34">
        <w:rPr>
          <w:lang w:val="el-GR"/>
        </w:rPr>
        <w:t>ἐγὼ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ὑμᾶς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ὦ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ἄνδρες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Ἀθηναῖοι</w:t>
      </w:r>
      <w:r w:rsidRPr="00A56971">
        <w:rPr>
          <w:lang w:val="el-GR"/>
        </w:rPr>
        <w:t xml:space="preserve">, </w:t>
      </w:r>
      <w:r w:rsidRPr="0053694B">
        <w:rPr>
          <w:lang w:val="el-GR"/>
        </w:rPr>
        <w:t>ἀσπάζομαι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μὲν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A56971">
        <w:rPr>
          <w:lang w:val="el-GR"/>
        </w:rPr>
        <w:t xml:space="preserve"> </w:t>
      </w:r>
      <w:r w:rsidRPr="00070D34">
        <w:rPr>
          <w:lang w:val="el-GR"/>
        </w:rPr>
        <w:t>φιλῶ</w:t>
      </w:r>
      <w:r w:rsidRPr="00A56971">
        <w:rPr>
          <w:lang w:val="el-GR"/>
        </w:rPr>
        <w:t xml:space="preserve">, </w:t>
      </w:r>
      <w:r w:rsidRPr="00070D34">
        <w:rPr>
          <w:lang w:val="el-GR"/>
        </w:rPr>
        <w:t>πείσομαι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δὲ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μᾶλλον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τῷ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θεῷ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ἢ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ὑμῖν</w:t>
      </w:r>
      <w:r w:rsidRPr="0004149E">
        <w:rPr>
          <w:lang w:val="el-GR"/>
        </w:rPr>
        <w:t xml:space="preserve">, </w:t>
      </w:r>
      <w:r w:rsidRPr="00070D34">
        <w:rPr>
          <w:lang w:val="el-GR"/>
        </w:rPr>
        <w:t>καὶ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ἕωσπερ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ἂν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ἐμπνέω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οἷός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τε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ὦ</w:t>
      </w:r>
      <w:r w:rsidRPr="0004149E">
        <w:rPr>
          <w:lang w:val="el-GR"/>
        </w:rPr>
        <w:t xml:space="preserve">, </w:t>
      </w:r>
      <w:r w:rsidRPr="00070D34">
        <w:rPr>
          <w:lang w:val="el-GR"/>
        </w:rPr>
        <w:t>οὐ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μὴ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παύσωμαι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φιλοσοφῶν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ὑμῖν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παρακελευόμενός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τε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καὶ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ἐνδεικνύμενος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ὅτῳ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ἂν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ἀεὶ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ἐντυγχάνω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ὑμῶν</w:t>
      </w:r>
      <w:r w:rsidRPr="0004149E">
        <w:rPr>
          <w:lang w:val="el-GR"/>
        </w:rPr>
        <w:t xml:space="preserve">, </w:t>
      </w:r>
      <w:r w:rsidRPr="00070D34">
        <w:rPr>
          <w:lang w:val="el-GR"/>
        </w:rPr>
        <w:t>λέγων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οἷάπερ</w:t>
      </w:r>
      <w:r w:rsidRPr="0004149E">
        <w:rPr>
          <w:lang w:val="el-GR"/>
        </w:rPr>
        <w:t xml:space="preserve"> </w:t>
      </w:r>
      <w:r w:rsidRPr="00070D34">
        <w:rPr>
          <w:lang w:val="el-GR"/>
        </w:rPr>
        <w:t>εἴωθα</w:t>
      </w:r>
      <w:r w:rsidRPr="0004149E">
        <w:rPr>
          <w:lang w:val="el-GR"/>
        </w:rPr>
        <w:t xml:space="preserve">, </w:t>
      </w:r>
      <w:r w:rsidR="00F17B49" w:rsidRPr="00070D34">
        <w:rPr>
          <w:lang w:val="el-GR"/>
        </w:rPr>
        <w:t>ὅτι</w:t>
      </w:r>
      <w:r w:rsidR="00F17B49" w:rsidRPr="0004149E">
        <w:rPr>
          <w:lang w:val="el-GR"/>
        </w:rPr>
        <w:t xml:space="preserve"> “</w:t>
      </w:r>
      <w:r w:rsidR="00F17B49" w:rsidRPr="00070D34">
        <w:rPr>
          <w:lang w:val="el-GR"/>
        </w:rPr>
        <w:t>ὦ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ἄριστε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ἀνδρῶν</w:t>
      </w:r>
      <w:r w:rsidR="00F17B49" w:rsidRPr="0004149E">
        <w:rPr>
          <w:lang w:val="el-GR"/>
        </w:rPr>
        <w:t xml:space="preserve">, </w:t>
      </w:r>
      <w:r w:rsidR="00F17B49" w:rsidRPr="00070D34">
        <w:rPr>
          <w:lang w:val="el-GR"/>
        </w:rPr>
        <w:t>Ἀθηναῖος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ὤν</w:t>
      </w:r>
      <w:r w:rsidR="00F17B49" w:rsidRPr="0004149E">
        <w:rPr>
          <w:lang w:val="el-GR"/>
        </w:rPr>
        <w:t xml:space="preserve">, </w:t>
      </w:r>
      <w:r w:rsidR="00F17B49" w:rsidRPr="00070D34">
        <w:rPr>
          <w:lang w:val="el-GR"/>
        </w:rPr>
        <w:t>πόλεως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τῆς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μεγίστης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καὶ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εὐδοκιμωτάτης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εἰς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σοφίαν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καὶ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ἰσχύν</w:t>
      </w:r>
      <w:r w:rsidR="00F17B49" w:rsidRPr="0004149E">
        <w:rPr>
          <w:lang w:val="el-GR"/>
        </w:rPr>
        <w:t xml:space="preserve">, </w:t>
      </w:r>
      <w:r w:rsidR="00F17B49" w:rsidRPr="00070D34">
        <w:rPr>
          <w:lang w:val="el-GR"/>
        </w:rPr>
        <w:t>χρημάτων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μὲν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οὐκ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αἰσχύνῃ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ἐπιμελούμενος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ὅπως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σοι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ἔσται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ὡς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πλεῖστα</w:t>
      </w:r>
      <w:r w:rsidR="00F17B49" w:rsidRPr="0004149E">
        <w:rPr>
          <w:lang w:val="el-GR"/>
        </w:rPr>
        <w:t xml:space="preserve">, </w:t>
      </w:r>
      <w:hyperlink r:id="rId14" w:anchor="p.29e" w:history="1">
        <w:r w:rsidR="00F17B49" w:rsidRPr="003829C8">
          <w:t>e</w:t>
        </w:r>
      </w:hyperlink>
      <w:r w:rsidR="00F17B49" w:rsidRPr="003829C8">
        <w:t> 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καὶ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δόξης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καὶ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τιμῆς</w:t>
      </w:r>
      <w:r w:rsidR="00F17B49" w:rsidRPr="0004149E">
        <w:rPr>
          <w:lang w:val="el-GR"/>
        </w:rPr>
        <w:t xml:space="preserve">, </w:t>
      </w:r>
      <w:r w:rsidR="00F17B49" w:rsidRPr="00070D34">
        <w:rPr>
          <w:lang w:val="el-GR"/>
        </w:rPr>
        <w:t>φρονήσεως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δὲ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καὶ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ἀληθείας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καὶ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τῆς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ψυχῆς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ὅπως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ὡς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βελτίστη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ἔσται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οὐκ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ἐπιμελῇ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οὐδὲ</w:t>
      </w:r>
      <w:r w:rsidR="00F17B49" w:rsidRPr="0004149E">
        <w:rPr>
          <w:lang w:val="el-GR"/>
        </w:rPr>
        <w:t xml:space="preserve"> </w:t>
      </w:r>
      <w:r w:rsidR="00F17B49" w:rsidRPr="00070D34">
        <w:rPr>
          <w:lang w:val="el-GR"/>
        </w:rPr>
        <w:t>φροντίζεις</w:t>
      </w:r>
      <w:r w:rsidR="00F17B49" w:rsidRPr="0004149E">
        <w:rPr>
          <w:lang w:val="el-GR"/>
        </w:rPr>
        <w:t>;”</w:t>
      </w:r>
    </w:p>
    <w:sectPr w:rsidR="00070D34" w:rsidRPr="0004149E" w:rsidSect="0004149E">
      <w:pgSz w:w="11906" w:h="16838" w:code="9"/>
      <w:pgMar w:top="426" w:right="56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E52B" w14:textId="77777777" w:rsidR="00411403" w:rsidRDefault="00411403" w:rsidP="00E4464F">
      <w:pPr>
        <w:spacing w:after="0"/>
      </w:pPr>
      <w:r>
        <w:separator/>
      </w:r>
    </w:p>
  </w:endnote>
  <w:endnote w:type="continuationSeparator" w:id="0">
    <w:p w14:paraId="29E422F9" w14:textId="77777777" w:rsidR="00411403" w:rsidRDefault="00411403" w:rsidP="00E446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kaios">
    <w:panose1 w:val="00000400000000000000"/>
    <w:charset w:val="00"/>
    <w:family w:val="auto"/>
    <w:pitch w:val="variable"/>
    <w:sig w:usb0="C00002EF" w:usb1="1807E0EA" w:usb2="00000010" w:usb3="00000000" w:csb0="0002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0C35" w14:textId="77777777" w:rsidR="00411403" w:rsidRDefault="00411403" w:rsidP="00E4464F">
      <w:pPr>
        <w:spacing w:after="0"/>
      </w:pPr>
      <w:r>
        <w:separator/>
      </w:r>
    </w:p>
  </w:footnote>
  <w:footnote w:type="continuationSeparator" w:id="0">
    <w:p w14:paraId="4C22E74B" w14:textId="77777777" w:rsidR="00411403" w:rsidRDefault="00411403" w:rsidP="00E4464F">
      <w:pPr>
        <w:spacing w:after="0"/>
      </w:pPr>
      <w:r>
        <w:continuationSeparator/>
      </w:r>
    </w:p>
  </w:footnote>
  <w:footnote w:id="1">
    <w:p w14:paraId="314593CA" w14:textId="6E1B5D90" w:rsidR="00E4464F" w:rsidRPr="000842F4" w:rsidRDefault="00E4464F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974AE">
        <w:rPr>
          <w:i/>
          <w:iCs/>
          <w:sz w:val="18"/>
          <w:szCs w:val="18"/>
        </w:rPr>
        <w:t>ἄνδρα</w:t>
      </w:r>
      <w:r w:rsidRPr="005E0042">
        <w:rPr>
          <w:i/>
          <w:iCs/>
          <w:sz w:val="18"/>
          <w:szCs w:val="18"/>
        </w:rPr>
        <w:t xml:space="preserve"> </w:t>
      </w:r>
      <w:r w:rsidRPr="000842F4">
        <w:rPr>
          <w:i/>
          <w:iCs/>
          <w:sz w:val="18"/>
          <w:szCs w:val="18"/>
        </w:rPr>
        <w:t xml:space="preserve">= </w:t>
      </w:r>
      <w:r w:rsidRPr="007974AE">
        <w:rPr>
          <w:i/>
          <w:iCs/>
          <w:sz w:val="18"/>
          <w:szCs w:val="18"/>
        </w:rPr>
        <w:t>ἄνδρα</w:t>
      </w:r>
      <w:r w:rsidRPr="005E0042">
        <w:rPr>
          <w:i/>
          <w:iCs/>
          <w:sz w:val="18"/>
          <w:szCs w:val="18"/>
        </w:rPr>
        <w:t xml:space="preserve"> </w:t>
      </w:r>
      <w:r w:rsidRPr="007974AE">
        <w:rPr>
          <w:i/>
          <w:iCs/>
          <w:sz w:val="18"/>
          <w:szCs w:val="18"/>
        </w:rPr>
        <w:t>τινά</w:t>
      </w:r>
      <w:r w:rsidRPr="005E0042">
        <w:rPr>
          <w:i/>
          <w:iCs/>
          <w:sz w:val="18"/>
          <w:szCs w:val="18"/>
        </w:rPr>
        <w:t xml:space="preserve"> </w:t>
      </w:r>
      <w:r w:rsidRPr="007974AE">
        <w:rPr>
          <w:rFonts w:ascii="Cambria Math" w:hAnsi="Cambria Math" w:cs="Cambria Math"/>
          <w:i/>
          <w:iCs/>
          <w:sz w:val="18"/>
          <w:szCs w:val="18"/>
        </w:rPr>
        <w:t>≙</w:t>
      </w:r>
      <w:r w:rsidRPr="005E0042">
        <w:rPr>
          <w:i/>
          <w:iCs/>
          <w:sz w:val="18"/>
          <w:szCs w:val="18"/>
        </w:rPr>
        <w:t xml:space="preserve"> </w:t>
      </w:r>
      <w:r w:rsidRPr="000842F4">
        <w:rPr>
          <w:i/>
          <w:iCs/>
          <w:sz w:val="18"/>
          <w:szCs w:val="18"/>
        </w:rPr>
        <w:t>„man“</w:t>
      </w:r>
    </w:p>
  </w:footnote>
  <w:footnote w:id="2">
    <w:p w14:paraId="7B29D3F5" w14:textId="06C48398" w:rsidR="00270ACA" w:rsidRPr="005E0042" w:rsidRDefault="00270ACA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270ACA">
        <w:rPr>
          <w:i/>
          <w:iCs/>
          <w:sz w:val="18"/>
          <w:szCs w:val="18"/>
          <w:lang w:val="el-GR"/>
        </w:rPr>
        <w:t>οἵ</w:t>
      </w:r>
      <w:r w:rsidRPr="005E0042">
        <w:rPr>
          <w:i/>
          <w:iCs/>
          <w:sz w:val="18"/>
          <w:szCs w:val="18"/>
        </w:rPr>
        <w:t xml:space="preserve"> </w:t>
      </w:r>
      <w:r w:rsidRPr="00270ACA">
        <w:rPr>
          <w:i/>
          <w:iCs/>
          <w:sz w:val="18"/>
          <w:szCs w:val="18"/>
          <w:lang w:val="el-GR"/>
        </w:rPr>
        <w:t>τε</w:t>
      </w:r>
      <w:r w:rsidRPr="005E0042">
        <w:rPr>
          <w:i/>
          <w:iCs/>
          <w:sz w:val="18"/>
          <w:szCs w:val="18"/>
        </w:rPr>
        <w:t xml:space="preserve"> </w:t>
      </w:r>
      <w:r w:rsidRPr="00270ACA">
        <w:rPr>
          <w:i/>
          <w:iCs/>
          <w:sz w:val="18"/>
          <w:szCs w:val="18"/>
          <w:lang w:val="el-GR"/>
        </w:rPr>
        <w:t>ἄλλοι</w:t>
      </w:r>
      <w:r w:rsidRPr="005E0042">
        <w:rPr>
          <w:i/>
          <w:iCs/>
          <w:sz w:val="18"/>
          <w:szCs w:val="18"/>
        </w:rPr>
        <w:t xml:space="preserve"> </w:t>
      </w:r>
      <w:r w:rsidRPr="00270ACA">
        <w:rPr>
          <w:i/>
          <w:iCs/>
          <w:sz w:val="18"/>
          <w:szCs w:val="18"/>
          <w:lang w:val="el-GR"/>
        </w:rPr>
        <w:t>καὶ</w:t>
      </w:r>
      <w:r w:rsidRPr="005E0042">
        <w:rPr>
          <w:i/>
          <w:iCs/>
          <w:sz w:val="18"/>
          <w:szCs w:val="18"/>
        </w:rPr>
        <w:t xml:space="preserve"> …: „sowohl die anderen als auch …“ = „unter anderen auch …“</w:t>
      </w:r>
    </w:p>
  </w:footnote>
  <w:footnote w:id="3">
    <w:p w14:paraId="606276BB" w14:textId="523227DE" w:rsidR="00897B2F" w:rsidRPr="00072349" w:rsidRDefault="00897B2F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 w:rsidRPr="005E0042">
        <w:t xml:space="preserve"> </w:t>
      </w:r>
      <w:r w:rsidRPr="00897B2F">
        <w:rPr>
          <w:i/>
          <w:iCs/>
          <w:sz w:val="18"/>
          <w:szCs w:val="18"/>
          <w:lang w:val="el-GR"/>
        </w:rPr>
        <w:t>παρὰ</w:t>
      </w:r>
      <w:r w:rsidRPr="00072349">
        <w:rPr>
          <w:i/>
          <w:iCs/>
          <w:sz w:val="18"/>
          <w:szCs w:val="18"/>
        </w:rPr>
        <w:t xml:space="preserve"> </w:t>
      </w:r>
      <w:r w:rsidRPr="00897B2F">
        <w:rPr>
          <w:i/>
          <w:iCs/>
          <w:sz w:val="18"/>
          <w:szCs w:val="18"/>
          <w:lang w:val="el-GR"/>
        </w:rPr>
        <w:t>τὸ</w:t>
      </w:r>
      <w:r w:rsidRPr="00072349">
        <w:rPr>
          <w:i/>
          <w:iCs/>
          <w:sz w:val="18"/>
          <w:szCs w:val="18"/>
        </w:rPr>
        <w:t xml:space="preserve"> </w:t>
      </w:r>
      <w:r w:rsidRPr="00897B2F">
        <w:rPr>
          <w:i/>
          <w:iCs/>
          <w:sz w:val="18"/>
          <w:szCs w:val="18"/>
          <w:lang w:val="el-GR"/>
        </w:rPr>
        <w:t>αἰσχρόν</w:t>
      </w:r>
      <w:r w:rsidRPr="00072349">
        <w:rPr>
          <w:i/>
          <w:iCs/>
          <w:sz w:val="18"/>
          <w:szCs w:val="18"/>
        </w:rPr>
        <w:t xml:space="preserve"> </w:t>
      </w:r>
      <w:r w:rsidRPr="00897B2F">
        <w:rPr>
          <w:i/>
          <w:iCs/>
          <w:sz w:val="18"/>
          <w:szCs w:val="18"/>
          <w:lang w:val="el-GR"/>
        </w:rPr>
        <w:t>τι</w:t>
      </w:r>
      <w:r w:rsidRPr="00072349">
        <w:rPr>
          <w:i/>
          <w:iCs/>
          <w:sz w:val="18"/>
          <w:szCs w:val="18"/>
        </w:rPr>
        <w:t xml:space="preserve"> </w:t>
      </w:r>
      <w:r w:rsidRPr="00897B2F">
        <w:rPr>
          <w:i/>
          <w:iCs/>
          <w:sz w:val="18"/>
          <w:szCs w:val="18"/>
          <w:lang w:val="el-GR"/>
        </w:rPr>
        <w:t>ὑπομεῖναι</w:t>
      </w:r>
      <w:r w:rsidRPr="00072349">
        <w:rPr>
          <w:i/>
          <w:iCs/>
          <w:sz w:val="18"/>
          <w:szCs w:val="18"/>
        </w:rPr>
        <w:t xml:space="preserve">: wie bei </w:t>
      </w:r>
      <w:r w:rsidRPr="00897B2F">
        <w:rPr>
          <w:i/>
          <w:iCs/>
          <w:sz w:val="18"/>
          <w:szCs w:val="18"/>
          <w:lang w:val="el-GR"/>
        </w:rPr>
        <w:t>παρὰ</w:t>
      </w:r>
      <w:r w:rsidRPr="00072349">
        <w:rPr>
          <w:i/>
          <w:iCs/>
          <w:sz w:val="18"/>
          <w:szCs w:val="18"/>
        </w:rPr>
        <w:t xml:space="preserve"> </w:t>
      </w:r>
      <w:r w:rsidRPr="00897B2F">
        <w:rPr>
          <w:i/>
          <w:iCs/>
          <w:sz w:val="18"/>
          <w:szCs w:val="18"/>
          <w:lang w:val="el-GR"/>
        </w:rPr>
        <w:t>τοὺς</w:t>
      </w:r>
      <w:r w:rsidRPr="00072349">
        <w:rPr>
          <w:i/>
          <w:iCs/>
          <w:sz w:val="18"/>
          <w:szCs w:val="18"/>
        </w:rPr>
        <w:t xml:space="preserve"> </w:t>
      </w:r>
      <w:r w:rsidRPr="00897B2F">
        <w:rPr>
          <w:i/>
          <w:iCs/>
          <w:sz w:val="18"/>
          <w:szCs w:val="18"/>
          <w:lang w:val="el-GR"/>
        </w:rPr>
        <w:t>νόμους</w:t>
      </w:r>
      <w:r w:rsidRPr="00072349">
        <w:rPr>
          <w:i/>
          <w:iCs/>
          <w:sz w:val="18"/>
          <w:szCs w:val="18"/>
        </w:rPr>
        <w:t xml:space="preserve"> so hier </w:t>
      </w:r>
      <w:r>
        <w:rPr>
          <w:i/>
          <w:iCs/>
          <w:sz w:val="18"/>
          <w:szCs w:val="18"/>
          <w:lang w:val="el-GR"/>
        </w:rPr>
        <w:t>παρὰ</w:t>
      </w:r>
      <w:r w:rsidRPr="0007234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  <w:lang w:val="el-GR"/>
        </w:rPr>
        <w:t>τὸ</w:t>
      </w:r>
      <w:r w:rsidRPr="00072349">
        <w:rPr>
          <w:i/>
          <w:iCs/>
          <w:sz w:val="18"/>
          <w:szCs w:val="18"/>
        </w:rPr>
        <w:t xml:space="preserve"> </w:t>
      </w:r>
      <w:r w:rsidR="00DE3AA0" w:rsidRPr="00072349">
        <w:rPr>
          <w:i/>
          <w:iCs/>
          <w:sz w:val="18"/>
          <w:szCs w:val="18"/>
        </w:rPr>
        <w:t>+ AcI</w:t>
      </w:r>
    </w:p>
  </w:footnote>
  <w:footnote w:id="4">
    <w:p w14:paraId="33EC7FA5" w14:textId="006DD03A" w:rsidR="005E0042" w:rsidRPr="005E0042" w:rsidRDefault="005E0042" w:rsidP="006338C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E0042">
        <w:rPr>
          <w:i/>
          <w:iCs/>
          <w:sz w:val="18"/>
          <w:szCs w:val="18"/>
          <w:lang w:val="el-GR"/>
        </w:rPr>
        <w:t>μὴ</w:t>
      </w:r>
      <w:r w:rsidRPr="00072349">
        <w:rPr>
          <w:i/>
          <w:iCs/>
          <w:sz w:val="18"/>
          <w:szCs w:val="18"/>
        </w:rPr>
        <w:t xml:space="preserve"> ... </w:t>
      </w:r>
      <w:r w:rsidRPr="005E0042">
        <w:rPr>
          <w:i/>
          <w:iCs/>
          <w:sz w:val="18"/>
          <w:szCs w:val="18"/>
          <w:lang w:val="el-GR"/>
        </w:rPr>
        <w:t>οἴει</w:t>
      </w:r>
      <w:r w:rsidRPr="00072349">
        <w:rPr>
          <w:i/>
          <w:iCs/>
          <w:sz w:val="18"/>
          <w:szCs w:val="18"/>
        </w:rPr>
        <w:t xml:space="preserve">: </w:t>
      </w:r>
      <w:r w:rsidRPr="005E0042">
        <w:rPr>
          <w:i/>
          <w:iCs/>
          <w:sz w:val="18"/>
          <w:szCs w:val="18"/>
          <w:lang w:val="el-GR"/>
        </w:rPr>
        <w:t>μή</w:t>
      </w:r>
      <w:r w:rsidRPr="00072349">
        <w:rPr>
          <w:i/>
          <w:iCs/>
          <w:sz w:val="18"/>
          <w:szCs w:val="18"/>
        </w:rPr>
        <w:t xml:space="preserve"> + Ind. in der Frage entpricht </w:t>
      </w:r>
      <w:r w:rsidRPr="005E0042">
        <w:rPr>
          <w:i/>
          <w:iCs/>
          <w:sz w:val="18"/>
          <w:szCs w:val="18"/>
          <w:lang w:val="el-GR"/>
        </w:rPr>
        <w:t>μή</w:t>
      </w:r>
      <w:r w:rsidRPr="00072349">
        <w:rPr>
          <w:i/>
          <w:iCs/>
          <w:sz w:val="18"/>
          <w:szCs w:val="18"/>
        </w:rPr>
        <w:t xml:space="preserve"> + Kon.: „Du glaubst doch hoffnentlich nicht …?“</w:t>
      </w:r>
    </w:p>
  </w:footnote>
  <w:footnote w:id="5">
    <w:p w14:paraId="553A1AC9" w14:textId="771E6015" w:rsidR="006338C6" w:rsidRPr="006338C6" w:rsidRDefault="006338C6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6338C6">
        <w:rPr>
          <w:i/>
          <w:iCs/>
          <w:sz w:val="18"/>
          <w:szCs w:val="18"/>
          <w:lang w:val="el-GR"/>
        </w:rPr>
        <w:t>οὗ</w:t>
      </w:r>
      <w:r w:rsidRPr="006338C6">
        <w:rPr>
          <w:i/>
          <w:iCs/>
          <w:sz w:val="18"/>
          <w:szCs w:val="18"/>
        </w:rPr>
        <w:t>: lokativ – Nach de</w:t>
      </w:r>
      <w:r>
        <w:rPr>
          <w:i/>
          <w:iCs/>
          <w:sz w:val="18"/>
          <w:szCs w:val="18"/>
        </w:rPr>
        <w:t>m Zitat aus der</w:t>
      </w:r>
      <w:r w:rsidRPr="006338C6">
        <w:rPr>
          <w:i/>
          <w:iCs/>
          <w:sz w:val="18"/>
          <w:szCs w:val="18"/>
        </w:rPr>
        <w:t xml:space="preserve"> Ilias wendet Sokrates hier </w:t>
      </w:r>
      <w:r>
        <w:rPr>
          <w:i/>
          <w:iCs/>
          <w:sz w:val="18"/>
          <w:szCs w:val="18"/>
        </w:rPr>
        <w:t>ein Bild aus</w:t>
      </w:r>
      <w:r w:rsidRPr="006338C6">
        <w:rPr>
          <w:i/>
          <w:iCs/>
          <w:sz w:val="18"/>
          <w:szCs w:val="18"/>
        </w:rPr>
        <w:t xml:space="preserve"> der Schlacht an, wie jeder Athener </w:t>
      </w:r>
      <w:r>
        <w:rPr>
          <w:i/>
          <w:iCs/>
          <w:sz w:val="18"/>
          <w:szCs w:val="18"/>
        </w:rPr>
        <w:t>sie kannte</w:t>
      </w:r>
      <w:r w:rsidRPr="006338C6">
        <w:rPr>
          <w:i/>
          <w:iCs/>
          <w:sz w:val="18"/>
          <w:szCs w:val="18"/>
        </w:rPr>
        <w:t>.</w:t>
      </w:r>
    </w:p>
  </w:footnote>
  <w:footnote w:id="6">
    <w:p w14:paraId="4AC3EFB4" w14:textId="077CEE70" w:rsidR="00BE32E4" w:rsidRPr="00FE21CD" w:rsidRDefault="00BE32E4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="00130767">
        <w:rPr>
          <w:i/>
          <w:iCs/>
          <w:sz w:val="18"/>
          <w:szCs w:val="18"/>
          <w:lang w:val="el-GR"/>
        </w:rPr>
        <w:t>δεινὰ</w:t>
      </w:r>
      <w:r w:rsidR="00130767" w:rsidRPr="00130767">
        <w:rPr>
          <w:i/>
          <w:iCs/>
          <w:sz w:val="18"/>
          <w:szCs w:val="18"/>
        </w:rPr>
        <w:t xml:space="preserve"> </w:t>
      </w:r>
      <w:r w:rsidR="00130767">
        <w:rPr>
          <w:i/>
          <w:iCs/>
          <w:sz w:val="18"/>
          <w:szCs w:val="18"/>
          <w:lang w:val="el-GR"/>
        </w:rPr>
        <w:t>ἂν</w:t>
      </w:r>
      <w:r w:rsidR="00130767" w:rsidRPr="00130767">
        <w:rPr>
          <w:i/>
          <w:iCs/>
          <w:sz w:val="18"/>
          <w:szCs w:val="18"/>
        </w:rPr>
        <w:t xml:space="preserve"> </w:t>
      </w:r>
      <w:r w:rsidR="00130767">
        <w:rPr>
          <w:i/>
          <w:iCs/>
          <w:sz w:val="18"/>
          <w:szCs w:val="18"/>
          <w:lang w:val="el-GR"/>
        </w:rPr>
        <w:t>ε</w:t>
      </w:r>
      <w:r w:rsidRPr="00BE32E4">
        <w:rPr>
          <w:i/>
          <w:iCs/>
          <w:sz w:val="18"/>
          <w:szCs w:val="18"/>
          <w:lang w:val="el-GR"/>
        </w:rPr>
        <w:t>ἴην</w:t>
      </w:r>
      <w:r w:rsidRPr="00130767">
        <w:rPr>
          <w:i/>
          <w:iCs/>
          <w:sz w:val="18"/>
          <w:szCs w:val="18"/>
        </w:rPr>
        <w:t xml:space="preserve"> </w:t>
      </w:r>
      <w:r w:rsidRPr="00BE32E4">
        <w:rPr>
          <w:i/>
          <w:iCs/>
          <w:sz w:val="18"/>
          <w:szCs w:val="18"/>
          <w:lang w:val="el-GR"/>
        </w:rPr>
        <w:t>εἰργασμένος</w:t>
      </w:r>
      <w:r w:rsidRPr="00130767">
        <w:rPr>
          <w:i/>
          <w:iCs/>
          <w:sz w:val="18"/>
          <w:szCs w:val="18"/>
        </w:rPr>
        <w:t xml:space="preserve">: zur Form s. </w:t>
      </w:r>
      <w:hyperlink r:id="rId1" w:history="1">
        <w:r w:rsidRPr="00130767">
          <w:rPr>
            <w:rStyle w:val="Hyperlink"/>
            <w:i/>
            <w:iCs/>
            <w:sz w:val="18"/>
            <w:szCs w:val="18"/>
          </w:rPr>
          <w:t>KT06</w:t>
        </w:r>
      </w:hyperlink>
      <w:r w:rsidR="00FE21CD">
        <w:rPr>
          <w:i/>
          <w:iCs/>
          <w:sz w:val="18"/>
          <w:szCs w:val="18"/>
        </w:rPr>
        <w:t xml:space="preserve"> – zum Potentialis der Vergangenheit s. </w:t>
      </w:r>
      <w:hyperlink r:id="rId2" w:history="1">
        <w:r w:rsidR="00FE21CD" w:rsidRPr="00A47A50">
          <w:rPr>
            <w:rStyle w:val="Hyperlink"/>
            <w:i/>
            <w:iCs/>
            <w:sz w:val="18"/>
            <w:szCs w:val="18"/>
          </w:rPr>
          <w:t>Sy12</w:t>
        </w:r>
      </w:hyperlink>
      <w:r w:rsidR="00130767">
        <w:rPr>
          <w:i/>
          <w:iCs/>
          <w:sz w:val="18"/>
          <w:szCs w:val="18"/>
        </w:rPr>
        <w:t>: „Ich hätte wohl schrecklich gehandelt …“</w:t>
      </w:r>
    </w:p>
  </w:footnote>
  <w:footnote w:id="7">
    <w:p w14:paraId="5F8CC8D3" w14:textId="2E536743" w:rsidR="00BE32E4" w:rsidRPr="00871CF5" w:rsidRDefault="00BE32E4" w:rsidP="000F3E20">
      <w:pPr>
        <w:pStyle w:val="Funotentext"/>
        <w:ind w:left="0" w:hanging="74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 w:rsidRPr="00871CF5">
        <w:t xml:space="preserve"> </w:t>
      </w:r>
      <w:r w:rsidRPr="00BE32E4">
        <w:rPr>
          <w:i/>
          <w:iCs/>
          <w:sz w:val="18"/>
          <w:szCs w:val="18"/>
          <w:lang w:val="el-GR"/>
        </w:rPr>
        <w:t>καὶ</w:t>
      </w:r>
      <w:r w:rsidRPr="00871CF5">
        <w:rPr>
          <w:i/>
          <w:iCs/>
          <w:sz w:val="18"/>
          <w:szCs w:val="18"/>
        </w:rPr>
        <w:t xml:space="preserve"> </w:t>
      </w:r>
      <w:r w:rsidRPr="00BE32E4">
        <w:rPr>
          <w:i/>
          <w:iCs/>
          <w:sz w:val="18"/>
          <w:szCs w:val="18"/>
          <w:lang w:val="el-GR"/>
        </w:rPr>
        <w:t>ἐν</w:t>
      </w:r>
      <w:r w:rsidRPr="00871CF5">
        <w:rPr>
          <w:i/>
          <w:iCs/>
          <w:sz w:val="18"/>
          <w:szCs w:val="18"/>
        </w:rPr>
        <w:t xml:space="preserve"> </w:t>
      </w:r>
      <w:r w:rsidRPr="00BE32E4">
        <w:rPr>
          <w:i/>
          <w:iCs/>
          <w:sz w:val="18"/>
          <w:szCs w:val="18"/>
          <w:lang w:val="el-GR"/>
        </w:rPr>
        <w:t>Ποτειδαίᾳ</w:t>
      </w:r>
      <w:r w:rsidRPr="00871CF5">
        <w:rPr>
          <w:i/>
          <w:iCs/>
          <w:sz w:val="18"/>
          <w:szCs w:val="18"/>
        </w:rPr>
        <w:t xml:space="preserve"> </w:t>
      </w:r>
      <w:r w:rsidR="00DD495A" w:rsidRPr="00871CF5">
        <w:rPr>
          <w:i/>
          <w:iCs/>
          <w:sz w:val="18"/>
          <w:szCs w:val="18"/>
        </w:rPr>
        <w:t>(431-429</w:t>
      </w:r>
      <w:r w:rsidR="00E93B9E" w:rsidRPr="00E93B9E">
        <w:rPr>
          <w:i/>
          <w:iCs/>
          <w:sz w:val="18"/>
          <w:szCs w:val="18"/>
        </w:rPr>
        <w:t>,</w:t>
      </w:r>
      <w:r w:rsidR="00DD495A" w:rsidRPr="00871CF5">
        <w:rPr>
          <w:i/>
          <w:iCs/>
          <w:sz w:val="18"/>
          <w:szCs w:val="18"/>
        </w:rPr>
        <w:t xml:space="preserve"> </w:t>
      </w:r>
      <w:r w:rsidR="00DD495A">
        <w:rPr>
          <w:i/>
          <w:iCs/>
          <w:sz w:val="18"/>
          <w:szCs w:val="18"/>
        </w:rPr>
        <w:t>Bezwingung</w:t>
      </w:r>
      <w:r w:rsidR="00DD495A" w:rsidRPr="00871CF5">
        <w:rPr>
          <w:i/>
          <w:iCs/>
          <w:sz w:val="18"/>
          <w:szCs w:val="18"/>
        </w:rPr>
        <w:t xml:space="preserve"> </w:t>
      </w:r>
      <w:r w:rsidR="00DD495A">
        <w:rPr>
          <w:i/>
          <w:iCs/>
          <w:sz w:val="18"/>
          <w:szCs w:val="18"/>
        </w:rPr>
        <w:t>der</w:t>
      </w:r>
      <w:r w:rsidR="00DD495A" w:rsidRPr="00871CF5">
        <w:rPr>
          <w:i/>
          <w:iCs/>
          <w:sz w:val="18"/>
          <w:szCs w:val="18"/>
        </w:rPr>
        <w:t xml:space="preserve"> </w:t>
      </w:r>
      <w:r w:rsidR="00DD495A">
        <w:rPr>
          <w:i/>
          <w:iCs/>
          <w:sz w:val="18"/>
          <w:szCs w:val="18"/>
        </w:rPr>
        <w:t>vom</w:t>
      </w:r>
      <w:r w:rsidR="00DD495A" w:rsidRPr="00871CF5">
        <w:rPr>
          <w:i/>
          <w:iCs/>
          <w:sz w:val="18"/>
          <w:szCs w:val="18"/>
        </w:rPr>
        <w:t xml:space="preserve"> </w:t>
      </w:r>
      <w:r w:rsidR="00DD495A">
        <w:rPr>
          <w:i/>
          <w:iCs/>
          <w:sz w:val="18"/>
          <w:szCs w:val="18"/>
        </w:rPr>
        <w:t>Seebund</w:t>
      </w:r>
      <w:r w:rsidR="00DD495A" w:rsidRPr="00871CF5">
        <w:rPr>
          <w:i/>
          <w:iCs/>
          <w:sz w:val="18"/>
          <w:szCs w:val="18"/>
        </w:rPr>
        <w:t xml:space="preserve"> </w:t>
      </w:r>
      <w:r w:rsidR="00DD495A">
        <w:rPr>
          <w:i/>
          <w:iCs/>
          <w:sz w:val="18"/>
          <w:szCs w:val="18"/>
        </w:rPr>
        <w:t>abgefallen</w:t>
      </w:r>
      <w:r w:rsidR="00DD495A" w:rsidRPr="00871CF5">
        <w:rPr>
          <w:i/>
          <w:iCs/>
          <w:sz w:val="18"/>
          <w:szCs w:val="18"/>
        </w:rPr>
        <w:t xml:space="preserve"> </w:t>
      </w:r>
      <w:r w:rsidR="00DD495A">
        <w:rPr>
          <w:i/>
          <w:iCs/>
          <w:sz w:val="18"/>
          <w:szCs w:val="18"/>
        </w:rPr>
        <w:t>Stadt</w:t>
      </w:r>
      <w:r w:rsidR="000F3E20" w:rsidRPr="00871CF5">
        <w:rPr>
          <w:i/>
          <w:iCs/>
          <w:sz w:val="18"/>
          <w:szCs w:val="18"/>
        </w:rPr>
        <w:t xml:space="preserve"> </w:t>
      </w:r>
      <w:r w:rsidR="000F3E20">
        <w:rPr>
          <w:i/>
          <w:iCs/>
          <w:sz w:val="18"/>
          <w:szCs w:val="18"/>
        </w:rPr>
        <w:t>auf</w:t>
      </w:r>
      <w:r w:rsidR="000F3E20" w:rsidRPr="00871CF5">
        <w:rPr>
          <w:i/>
          <w:iCs/>
          <w:sz w:val="18"/>
          <w:szCs w:val="18"/>
        </w:rPr>
        <w:t xml:space="preserve"> </w:t>
      </w:r>
      <w:r w:rsidR="000F3E20">
        <w:rPr>
          <w:i/>
          <w:iCs/>
          <w:sz w:val="18"/>
          <w:szCs w:val="18"/>
        </w:rPr>
        <w:t>der</w:t>
      </w:r>
      <w:r w:rsidR="000F3E20" w:rsidRPr="00871CF5">
        <w:rPr>
          <w:i/>
          <w:iCs/>
          <w:sz w:val="18"/>
          <w:szCs w:val="18"/>
        </w:rPr>
        <w:t xml:space="preserve"> </w:t>
      </w:r>
      <w:r w:rsidR="000F3E20">
        <w:rPr>
          <w:i/>
          <w:iCs/>
          <w:sz w:val="18"/>
          <w:szCs w:val="18"/>
        </w:rPr>
        <w:t>Chalkidike</w:t>
      </w:r>
      <w:r w:rsidR="000F3E20" w:rsidRPr="00871CF5">
        <w:rPr>
          <w:i/>
          <w:iCs/>
          <w:sz w:val="18"/>
          <w:szCs w:val="18"/>
        </w:rPr>
        <w:t xml:space="preserve">; </w:t>
      </w:r>
      <w:r w:rsidR="000F3E20">
        <w:rPr>
          <w:i/>
          <w:iCs/>
          <w:sz w:val="18"/>
          <w:szCs w:val="18"/>
        </w:rPr>
        <w:t>Sokrates</w:t>
      </w:r>
      <w:r w:rsidR="000F3E20" w:rsidRPr="00871CF5">
        <w:rPr>
          <w:i/>
          <w:iCs/>
          <w:sz w:val="18"/>
          <w:szCs w:val="18"/>
        </w:rPr>
        <w:t xml:space="preserve"> </w:t>
      </w:r>
      <w:r w:rsidR="000F3E20">
        <w:rPr>
          <w:i/>
          <w:iCs/>
          <w:sz w:val="18"/>
          <w:szCs w:val="18"/>
        </w:rPr>
        <w:t>rettet</w:t>
      </w:r>
      <w:r w:rsidR="00072349">
        <w:rPr>
          <w:i/>
          <w:iCs/>
          <w:sz w:val="18"/>
          <w:szCs w:val="18"/>
        </w:rPr>
        <w:t>e</w:t>
      </w:r>
      <w:r w:rsidR="000F3E20" w:rsidRPr="00871CF5">
        <w:rPr>
          <w:i/>
          <w:iCs/>
          <w:sz w:val="18"/>
          <w:szCs w:val="18"/>
        </w:rPr>
        <w:t xml:space="preserve"> </w:t>
      </w:r>
      <w:r w:rsidR="000F3E20">
        <w:rPr>
          <w:i/>
          <w:iCs/>
          <w:sz w:val="18"/>
          <w:szCs w:val="18"/>
        </w:rPr>
        <w:t>Alkibiades</w:t>
      </w:r>
      <w:r w:rsidR="000F3E20" w:rsidRPr="00871CF5">
        <w:rPr>
          <w:i/>
          <w:iCs/>
          <w:sz w:val="18"/>
          <w:szCs w:val="18"/>
        </w:rPr>
        <w:t xml:space="preserve">, </w:t>
      </w:r>
      <w:r w:rsidR="000F3E20">
        <w:rPr>
          <w:i/>
          <w:iCs/>
          <w:sz w:val="18"/>
          <w:szCs w:val="18"/>
        </w:rPr>
        <w:t>Symp</w:t>
      </w:r>
      <w:r w:rsidR="000F3E20" w:rsidRPr="00871CF5">
        <w:rPr>
          <w:i/>
          <w:iCs/>
          <w:sz w:val="18"/>
          <w:szCs w:val="18"/>
        </w:rPr>
        <w:t>.219</w:t>
      </w:r>
      <w:r w:rsidR="000F3E20">
        <w:rPr>
          <w:i/>
          <w:iCs/>
          <w:sz w:val="18"/>
          <w:szCs w:val="18"/>
        </w:rPr>
        <w:t>e</w:t>
      </w:r>
      <w:r w:rsidR="000F3E20" w:rsidRPr="00871CF5">
        <w:rPr>
          <w:i/>
          <w:iCs/>
          <w:sz w:val="18"/>
          <w:szCs w:val="18"/>
        </w:rPr>
        <w:t>)</w:t>
      </w:r>
      <w:r w:rsidR="00DD495A" w:rsidRPr="00871CF5">
        <w:rPr>
          <w:i/>
          <w:iCs/>
          <w:sz w:val="18"/>
          <w:szCs w:val="18"/>
        </w:rPr>
        <w:t xml:space="preserve"> </w:t>
      </w:r>
      <w:r w:rsidRPr="00BE32E4">
        <w:rPr>
          <w:i/>
          <w:iCs/>
          <w:sz w:val="18"/>
          <w:szCs w:val="18"/>
          <w:lang w:val="el-GR"/>
        </w:rPr>
        <w:t>καὶ</w:t>
      </w:r>
      <w:r w:rsidRPr="00871CF5">
        <w:rPr>
          <w:i/>
          <w:iCs/>
          <w:sz w:val="18"/>
          <w:szCs w:val="18"/>
        </w:rPr>
        <w:t xml:space="preserve"> </w:t>
      </w:r>
      <w:r w:rsidRPr="00BE32E4">
        <w:rPr>
          <w:i/>
          <w:iCs/>
          <w:sz w:val="18"/>
          <w:szCs w:val="18"/>
          <w:lang w:val="el-GR"/>
        </w:rPr>
        <w:t>ἐν</w:t>
      </w:r>
      <w:r w:rsidRPr="00871CF5">
        <w:rPr>
          <w:i/>
          <w:iCs/>
          <w:sz w:val="18"/>
          <w:szCs w:val="18"/>
        </w:rPr>
        <w:t xml:space="preserve"> </w:t>
      </w:r>
      <w:r w:rsidRPr="00BE32E4">
        <w:rPr>
          <w:i/>
          <w:iCs/>
          <w:sz w:val="18"/>
          <w:szCs w:val="18"/>
          <w:lang w:val="el-GR"/>
        </w:rPr>
        <w:t>Ἀμφιπόλει</w:t>
      </w:r>
      <w:r w:rsidRPr="00871CF5">
        <w:rPr>
          <w:i/>
          <w:iCs/>
          <w:sz w:val="18"/>
          <w:szCs w:val="18"/>
        </w:rPr>
        <w:t xml:space="preserve"> </w:t>
      </w:r>
      <w:r w:rsidR="00871CF5" w:rsidRPr="00871CF5">
        <w:rPr>
          <w:i/>
          <w:iCs/>
          <w:sz w:val="18"/>
          <w:szCs w:val="18"/>
        </w:rPr>
        <w:t>(422</w:t>
      </w:r>
      <w:r w:rsidR="00E93B9E" w:rsidRPr="00E93B9E">
        <w:rPr>
          <w:i/>
          <w:iCs/>
          <w:sz w:val="18"/>
          <w:szCs w:val="18"/>
        </w:rPr>
        <w:t>.</w:t>
      </w:r>
      <w:r w:rsidR="00871CF5" w:rsidRPr="00871CF5">
        <w:rPr>
          <w:i/>
          <w:iCs/>
          <w:sz w:val="18"/>
          <w:szCs w:val="18"/>
        </w:rPr>
        <w:t xml:space="preserve"> </w:t>
      </w:r>
      <w:r w:rsidR="00871CF5">
        <w:rPr>
          <w:i/>
          <w:iCs/>
          <w:sz w:val="18"/>
          <w:szCs w:val="18"/>
        </w:rPr>
        <w:t xml:space="preserve">vergeblicher Versuch, die abgefallene Stadt in Thrakien zurückzuerobern, 600 Athener fallen) </w:t>
      </w:r>
      <w:r w:rsidRPr="00BE32E4">
        <w:rPr>
          <w:i/>
          <w:iCs/>
          <w:sz w:val="18"/>
          <w:szCs w:val="18"/>
          <w:lang w:val="el-GR"/>
        </w:rPr>
        <w:t>καὶ</w:t>
      </w:r>
      <w:r w:rsidRPr="00871CF5">
        <w:rPr>
          <w:i/>
          <w:iCs/>
          <w:sz w:val="18"/>
          <w:szCs w:val="18"/>
        </w:rPr>
        <w:t xml:space="preserve"> </w:t>
      </w:r>
      <w:r w:rsidRPr="00BE32E4">
        <w:rPr>
          <w:i/>
          <w:iCs/>
          <w:sz w:val="18"/>
          <w:szCs w:val="18"/>
          <w:lang w:val="el-GR"/>
        </w:rPr>
        <w:t>ἐπὶ</w:t>
      </w:r>
      <w:r w:rsidRPr="00871CF5">
        <w:rPr>
          <w:i/>
          <w:iCs/>
          <w:sz w:val="18"/>
          <w:szCs w:val="18"/>
        </w:rPr>
        <w:t xml:space="preserve"> </w:t>
      </w:r>
      <w:r w:rsidRPr="00BE32E4">
        <w:rPr>
          <w:i/>
          <w:iCs/>
          <w:sz w:val="18"/>
          <w:szCs w:val="18"/>
          <w:lang w:val="el-GR"/>
        </w:rPr>
        <w:t>Δηλίῳ</w:t>
      </w:r>
      <w:r w:rsidRPr="00871CF5">
        <w:rPr>
          <w:i/>
          <w:iCs/>
          <w:sz w:val="18"/>
          <w:szCs w:val="18"/>
        </w:rPr>
        <w:t xml:space="preserve"> </w:t>
      </w:r>
      <w:r w:rsidR="000F3E20" w:rsidRPr="00871CF5">
        <w:rPr>
          <w:i/>
          <w:iCs/>
          <w:sz w:val="18"/>
          <w:szCs w:val="18"/>
        </w:rPr>
        <w:t xml:space="preserve">(424; </w:t>
      </w:r>
      <w:r w:rsidR="000F3E20">
        <w:rPr>
          <w:i/>
          <w:iCs/>
          <w:sz w:val="18"/>
          <w:szCs w:val="18"/>
        </w:rPr>
        <w:t>in</w:t>
      </w:r>
      <w:r w:rsidR="000F3E20" w:rsidRPr="00871CF5">
        <w:rPr>
          <w:i/>
          <w:iCs/>
          <w:sz w:val="18"/>
          <w:szCs w:val="18"/>
        </w:rPr>
        <w:t xml:space="preserve"> </w:t>
      </w:r>
      <w:r w:rsidR="000F3E20">
        <w:rPr>
          <w:i/>
          <w:iCs/>
          <w:sz w:val="18"/>
          <w:szCs w:val="18"/>
        </w:rPr>
        <w:t>B</w:t>
      </w:r>
      <w:r w:rsidR="000F3E20" w:rsidRPr="00871CF5">
        <w:rPr>
          <w:i/>
          <w:iCs/>
          <w:sz w:val="18"/>
          <w:szCs w:val="18"/>
        </w:rPr>
        <w:t>ö</w:t>
      </w:r>
      <w:r w:rsidR="000F3E20">
        <w:rPr>
          <w:i/>
          <w:iCs/>
          <w:sz w:val="18"/>
          <w:szCs w:val="18"/>
        </w:rPr>
        <w:t>otien</w:t>
      </w:r>
      <w:r w:rsidR="000F3E20" w:rsidRPr="00871CF5">
        <w:rPr>
          <w:i/>
          <w:iCs/>
          <w:sz w:val="18"/>
          <w:szCs w:val="18"/>
        </w:rPr>
        <w:t xml:space="preserve"> </w:t>
      </w:r>
      <w:r w:rsidR="000F3E20">
        <w:rPr>
          <w:i/>
          <w:iCs/>
          <w:sz w:val="18"/>
          <w:szCs w:val="18"/>
        </w:rPr>
        <w:t>gelegen</w:t>
      </w:r>
      <w:r w:rsidR="00871CF5" w:rsidRPr="00871CF5">
        <w:rPr>
          <w:i/>
          <w:iCs/>
          <w:sz w:val="18"/>
          <w:szCs w:val="18"/>
        </w:rPr>
        <w:t xml:space="preserve">; </w:t>
      </w:r>
      <w:r w:rsidR="00871CF5">
        <w:rPr>
          <w:i/>
          <w:iCs/>
          <w:sz w:val="18"/>
          <w:szCs w:val="18"/>
        </w:rPr>
        <w:t>Niederlage</w:t>
      </w:r>
      <w:r w:rsidR="00871CF5" w:rsidRPr="00871CF5">
        <w:rPr>
          <w:i/>
          <w:iCs/>
          <w:sz w:val="18"/>
          <w:szCs w:val="18"/>
        </w:rPr>
        <w:t xml:space="preserve"> </w:t>
      </w:r>
      <w:r w:rsidR="00871CF5">
        <w:rPr>
          <w:i/>
          <w:iCs/>
          <w:sz w:val="18"/>
          <w:szCs w:val="18"/>
        </w:rPr>
        <w:t>Athens</w:t>
      </w:r>
      <w:r w:rsidR="00871CF5" w:rsidRPr="00871CF5">
        <w:rPr>
          <w:i/>
          <w:iCs/>
          <w:sz w:val="18"/>
          <w:szCs w:val="18"/>
        </w:rPr>
        <w:t xml:space="preserve">; </w:t>
      </w:r>
      <w:r w:rsidR="000F3E20">
        <w:rPr>
          <w:i/>
          <w:iCs/>
          <w:sz w:val="18"/>
          <w:szCs w:val="18"/>
        </w:rPr>
        <w:t>Sokrates</w:t>
      </w:r>
      <w:r w:rsidR="00871CF5" w:rsidRPr="00871CF5">
        <w:rPr>
          <w:i/>
          <w:iCs/>
          <w:sz w:val="18"/>
          <w:szCs w:val="18"/>
        </w:rPr>
        <w:t xml:space="preserve">‘ </w:t>
      </w:r>
      <w:r w:rsidR="00871CF5">
        <w:rPr>
          <w:i/>
          <w:iCs/>
          <w:sz w:val="18"/>
          <w:szCs w:val="18"/>
        </w:rPr>
        <w:t>Verhalten</w:t>
      </w:r>
      <w:r w:rsidR="00871CF5" w:rsidRPr="00871CF5">
        <w:rPr>
          <w:i/>
          <w:iCs/>
          <w:sz w:val="18"/>
          <w:szCs w:val="18"/>
        </w:rPr>
        <w:t xml:space="preserve"> </w:t>
      </w:r>
      <w:r w:rsidR="00871CF5">
        <w:rPr>
          <w:i/>
          <w:iCs/>
          <w:sz w:val="18"/>
          <w:szCs w:val="18"/>
        </w:rPr>
        <w:t>s</w:t>
      </w:r>
      <w:r w:rsidR="00871CF5" w:rsidRPr="00871CF5">
        <w:rPr>
          <w:i/>
          <w:iCs/>
          <w:sz w:val="18"/>
          <w:szCs w:val="18"/>
        </w:rPr>
        <w:t xml:space="preserve">. </w:t>
      </w:r>
      <w:r w:rsidR="00871CF5">
        <w:rPr>
          <w:i/>
          <w:iCs/>
          <w:sz w:val="18"/>
          <w:szCs w:val="18"/>
        </w:rPr>
        <w:t>Symp</w:t>
      </w:r>
      <w:r w:rsidR="00871CF5" w:rsidRPr="00871CF5">
        <w:rPr>
          <w:i/>
          <w:iCs/>
          <w:sz w:val="18"/>
          <w:szCs w:val="18"/>
        </w:rPr>
        <w:t xml:space="preserve">.221) </w:t>
      </w:r>
      <w:r w:rsidR="000F3E20" w:rsidRPr="00871CF5">
        <w:rPr>
          <w:i/>
          <w:iCs/>
          <w:sz w:val="18"/>
          <w:szCs w:val="18"/>
        </w:rPr>
        <w:t xml:space="preserve"> </w:t>
      </w:r>
    </w:p>
  </w:footnote>
  <w:footnote w:id="8">
    <w:p w14:paraId="6DADCDBD" w14:textId="6CEE031E" w:rsidR="00A56971" w:rsidRPr="00A56971" w:rsidRDefault="00A5697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E1C0D">
        <w:rPr>
          <w:i/>
          <w:iCs/>
          <w:sz w:val="18"/>
          <w:szCs w:val="18"/>
        </w:rPr>
        <w:t>ἡ ἐπονείδιστος</w:t>
      </w:r>
      <w:r w:rsidRPr="00CE1C0D">
        <w:rPr>
          <w:i/>
          <w:iCs/>
          <w:sz w:val="18"/>
          <w:szCs w:val="18"/>
        </w:rPr>
        <w:t xml:space="preserve">: Adj.Attr. zum Prädikatsnomen ἀμαθία, also eine </w:t>
      </w:r>
      <w:r w:rsidR="00CE1C0D">
        <w:rPr>
          <w:i/>
          <w:iCs/>
          <w:sz w:val="18"/>
          <w:szCs w:val="18"/>
        </w:rPr>
        <w:t>aufgelöste</w:t>
      </w:r>
      <w:r w:rsidRPr="00CE1C0D">
        <w:rPr>
          <w:i/>
          <w:iCs/>
          <w:sz w:val="18"/>
          <w:szCs w:val="18"/>
        </w:rPr>
        <w:t xml:space="preserve"> attributive Klammer zu einem Subst. ohne </w:t>
      </w:r>
      <w:r w:rsidR="00CE1C0D" w:rsidRPr="00CE1C0D">
        <w:rPr>
          <w:i/>
          <w:iCs/>
          <w:sz w:val="18"/>
          <w:szCs w:val="18"/>
        </w:rPr>
        <w:t>Artikel</w:t>
      </w:r>
    </w:p>
  </w:footnote>
  <w:footnote w:id="9">
    <w:p w14:paraId="3D3999B7" w14:textId="37803EE5" w:rsidR="003F46EB" w:rsidRPr="003F46EB" w:rsidRDefault="003F46EB" w:rsidP="003F46E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F46EB">
        <w:rPr>
          <w:i/>
          <w:iCs/>
          <w:sz w:val="18"/>
          <w:szCs w:val="18"/>
        </w:rPr>
        <w:t>τῳ = τινί: modaler Dativ – του = τινός lies: ἀνδρός τινος</w:t>
      </w:r>
    </w:p>
  </w:footnote>
  <w:footnote w:id="10">
    <w:p w14:paraId="434F2286" w14:textId="580F1D7B" w:rsidR="003F46EB" w:rsidRPr="007974AE" w:rsidRDefault="003F46EB" w:rsidP="003F46EB">
      <w:pPr>
        <w:pStyle w:val="Funotentext"/>
        <w:rPr>
          <w:i/>
          <w:iCs/>
          <w:sz w:val="18"/>
          <w:szCs w:val="18"/>
          <w:vertAlign w:val="superscript"/>
        </w:rPr>
      </w:pPr>
      <w:r>
        <w:rPr>
          <w:rStyle w:val="Funotenzeichen"/>
        </w:rPr>
        <w:footnoteRef/>
      </w:r>
      <w:r>
        <w:t xml:space="preserve"> </w:t>
      </w:r>
      <w:r w:rsidRPr="003F46EB">
        <w:rPr>
          <w:i/>
          <w:iCs/>
          <w:sz w:val="18"/>
          <w:szCs w:val="18"/>
        </w:rPr>
        <w:t>τούτῳ ἄν erg. σοφώτερος εἴην</w:t>
      </w:r>
      <w:r w:rsidR="007974AE">
        <w:rPr>
          <w:i/>
          <w:iCs/>
          <w:sz w:val="18"/>
          <w:szCs w:val="18"/>
        </w:rPr>
        <w:t xml:space="preserve">            </w:t>
      </w:r>
      <w:r w:rsidR="007974AE">
        <w:rPr>
          <w:i/>
          <w:iCs/>
          <w:sz w:val="18"/>
          <w:szCs w:val="18"/>
          <w:vertAlign w:val="superscript"/>
        </w:rPr>
        <w:t>11</w:t>
      </w:r>
      <w:r w:rsidR="007974AE" w:rsidRPr="007974AE">
        <w:rPr>
          <w:i/>
          <w:iCs/>
          <w:sz w:val="18"/>
          <w:szCs w:val="18"/>
        </w:rPr>
        <w:t xml:space="preserve"> </w:t>
      </w:r>
      <w:r w:rsidR="007974AE" w:rsidRPr="0004149E">
        <w:rPr>
          <w:i/>
          <w:iCs/>
          <w:sz w:val="18"/>
          <w:szCs w:val="18"/>
        </w:rPr>
        <w:t>Ἀνύτῳ ἀπιστήσαντες „ohne dem Anytos {Glauben zu schenken} zuzustimmen“</w:t>
      </w:r>
    </w:p>
  </w:footnote>
  <w:footnote w:id="11">
    <w:p w14:paraId="26F8B402" w14:textId="3947EFC1" w:rsidR="0004149E" w:rsidRPr="0004149E" w:rsidRDefault="0004149E" w:rsidP="007974AE">
      <w:pPr>
        <w:pStyle w:val="Funotentext"/>
        <w:ind w:left="0" w:firstLine="0"/>
        <w:rPr>
          <w:i/>
          <w:iCs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78"/>
    <w:rsid w:val="00022B25"/>
    <w:rsid w:val="0004149E"/>
    <w:rsid w:val="000665F3"/>
    <w:rsid w:val="00070D34"/>
    <w:rsid w:val="00071049"/>
    <w:rsid w:val="00072349"/>
    <w:rsid w:val="000842F4"/>
    <w:rsid w:val="000C4DDF"/>
    <w:rsid w:val="000F3E20"/>
    <w:rsid w:val="00130767"/>
    <w:rsid w:val="0018097F"/>
    <w:rsid w:val="001C6B15"/>
    <w:rsid w:val="0021052B"/>
    <w:rsid w:val="00270ACA"/>
    <w:rsid w:val="002A49C3"/>
    <w:rsid w:val="003829C8"/>
    <w:rsid w:val="003F46EB"/>
    <w:rsid w:val="00411403"/>
    <w:rsid w:val="004125C3"/>
    <w:rsid w:val="00422F3F"/>
    <w:rsid w:val="004903F0"/>
    <w:rsid w:val="005025D1"/>
    <w:rsid w:val="005069DE"/>
    <w:rsid w:val="0053694B"/>
    <w:rsid w:val="00595860"/>
    <w:rsid w:val="005A078A"/>
    <w:rsid w:val="005E0042"/>
    <w:rsid w:val="006070F3"/>
    <w:rsid w:val="006338C6"/>
    <w:rsid w:val="00642140"/>
    <w:rsid w:val="00654A8F"/>
    <w:rsid w:val="00693A61"/>
    <w:rsid w:val="0070403A"/>
    <w:rsid w:val="00763112"/>
    <w:rsid w:val="007974AE"/>
    <w:rsid w:val="007B7CC1"/>
    <w:rsid w:val="007C6242"/>
    <w:rsid w:val="007D1FD4"/>
    <w:rsid w:val="007D4B6E"/>
    <w:rsid w:val="00871CF5"/>
    <w:rsid w:val="00877C78"/>
    <w:rsid w:val="00897690"/>
    <w:rsid w:val="00897B2F"/>
    <w:rsid w:val="008E1652"/>
    <w:rsid w:val="0097628B"/>
    <w:rsid w:val="00A44E1F"/>
    <w:rsid w:val="00A47A50"/>
    <w:rsid w:val="00A56971"/>
    <w:rsid w:val="00BE32E4"/>
    <w:rsid w:val="00C121C8"/>
    <w:rsid w:val="00CE1C0D"/>
    <w:rsid w:val="00D16A6A"/>
    <w:rsid w:val="00D60C33"/>
    <w:rsid w:val="00DD495A"/>
    <w:rsid w:val="00DE3AA0"/>
    <w:rsid w:val="00E207FC"/>
    <w:rsid w:val="00E4464F"/>
    <w:rsid w:val="00E82360"/>
    <w:rsid w:val="00E93B9E"/>
    <w:rsid w:val="00EC1B9E"/>
    <w:rsid w:val="00EC6851"/>
    <w:rsid w:val="00F17B49"/>
    <w:rsid w:val="00FD3F2A"/>
    <w:rsid w:val="00FE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9CBB"/>
  <w15:chartTrackingRefBased/>
  <w15:docId w15:val="{021EFA82-977C-4C92-ACD3-574C0D5C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kaios" w:eastAsiaTheme="minorHAnsi" w:hAnsi="Alkaios" w:cs="DejaVu Sans"/>
        <w:sz w:val="22"/>
        <w:szCs w:val="22"/>
        <w:lang w:val="de-DE" w:eastAsia="en-US" w:bidi="ar-SA"/>
      </w:rPr>
    </w:rPrDefault>
    <w:pPrDefault>
      <w:pPr>
        <w:spacing w:after="120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7C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7C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7C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7C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7C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7C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7C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7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7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7C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7C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7C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7C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7C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7C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7C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7C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7C78"/>
    <w:pPr>
      <w:numPr>
        <w:ilvl w:val="1"/>
      </w:numPr>
      <w:spacing w:after="160"/>
      <w:ind w:left="283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7C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7C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7C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7C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7C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7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7C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7C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70D3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0D34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4464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464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4464F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1307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3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2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4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zusokrates.de/fileadmin/Griechisch/Syntax/Sy12_Modi_1_.pdf" TargetMode="External"/><Relationship Id="rId1" Type="http://schemas.openxmlformats.org/officeDocument/2006/relationships/hyperlink" Target="https://www.zusokrates.de/fileadmin/Griechisch/Konjugation/KT06_lyo_alles_M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AFF7-88C5-43F0-B3E2-2992B13D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17</cp:revision>
  <dcterms:created xsi:type="dcterms:W3CDTF">2025-01-24T09:23:00Z</dcterms:created>
  <dcterms:modified xsi:type="dcterms:W3CDTF">2025-02-13T14:35:00Z</dcterms:modified>
</cp:coreProperties>
</file>